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A6" w:rsidRDefault="00DD2DA6" w:rsidP="00DD2DA6">
      <w:pPr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PRORAČUNSKI KORISNIK:   DJEČJI VRTIĆ JELSA</w:t>
      </w:r>
    </w:p>
    <w:p w:rsidR="00DD2DA6" w:rsidRDefault="00DD2DA6" w:rsidP="00DD2DA6">
      <w:pPr>
        <w:pStyle w:val="Naslov1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Matični broj 1277120</w:t>
      </w:r>
    </w:p>
    <w:p w:rsidR="00DD2DA6" w:rsidRDefault="00DD2DA6" w:rsidP="00DD2DA6">
      <w:r>
        <w:t>Oib:48702711075</w:t>
      </w:r>
    </w:p>
    <w:p w:rsidR="00DD2DA6" w:rsidRDefault="00DD2DA6" w:rsidP="00DD2DA6">
      <w:proofErr w:type="spellStart"/>
      <w:r>
        <w:t>Šifranska</w:t>
      </w:r>
      <w:proofErr w:type="spellEnd"/>
      <w:r>
        <w:t xml:space="preserve"> oznaka 8510</w:t>
      </w:r>
    </w:p>
    <w:p w:rsidR="00DD2DA6" w:rsidRDefault="00DD2DA6" w:rsidP="00DD2DA6">
      <w:pPr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Žiro-račun:HR49 2407000 1100568543</w:t>
      </w:r>
    </w:p>
    <w:p w:rsidR="00DD2DA6" w:rsidRDefault="00DD2DA6" w:rsidP="00DD2DA6">
      <w:pPr>
        <w:rPr>
          <w:rFonts w:ascii="Arial" w:hAnsi="Arial" w:cs="Arial"/>
          <w:b w:val="0"/>
          <w:sz w:val="24"/>
        </w:rPr>
      </w:pPr>
    </w:p>
    <w:p w:rsidR="00DD2DA6" w:rsidRDefault="00DD2DA6" w:rsidP="00DD2DA6">
      <w:pPr>
        <w:pStyle w:val="Naslov6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BILJEŠKE UZ IZVJEŠTAJ O PRIHODIMA I RASHODIMA, PRIMICIMA I IZDACIMA</w:t>
      </w:r>
    </w:p>
    <w:p w:rsidR="00DD2DA6" w:rsidRDefault="00DD2DA6" w:rsidP="00DD2DA6">
      <w:pPr>
        <w:rPr>
          <w:rFonts w:ascii="Arial" w:hAnsi="Arial" w:cs="Arial"/>
          <w:b w:val="0"/>
          <w:sz w:val="24"/>
          <w:u w:val="single"/>
        </w:rPr>
      </w:pPr>
      <w:r>
        <w:rPr>
          <w:rFonts w:ascii="Arial" w:hAnsi="Arial" w:cs="Arial"/>
          <w:b w:val="0"/>
          <w:sz w:val="24"/>
          <w:u w:val="single"/>
        </w:rPr>
        <w:t xml:space="preserve">za razdoblje od 01.siječnja  do 31. prosinca </w:t>
      </w:r>
      <w:r w:rsidR="00297A91">
        <w:rPr>
          <w:rFonts w:ascii="Arial" w:hAnsi="Arial" w:cs="Arial"/>
          <w:b w:val="0"/>
          <w:sz w:val="24"/>
          <w:u w:val="single"/>
        </w:rPr>
        <w:t>202</w:t>
      </w:r>
      <w:r w:rsidR="0022296F">
        <w:rPr>
          <w:rFonts w:ascii="Arial" w:hAnsi="Arial" w:cs="Arial"/>
          <w:b w:val="0"/>
          <w:sz w:val="24"/>
          <w:u w:val="single"/>
        </w:rPr>
        <w:t>4.</w:t>
      </w:r>
      <w:r>
        <w:rPr>
          <w:rFonts w:ascii="Arial" w:hAnsi="Arial" w:cs="Arial"/>
          <w:b w:val="0"/>
          <w:sz w:val="24"/>
          <w:u w:val="single"/>
        </w:rPr>
        <w:t xml:space="preserve"> godine</w:t>
      </w:r>
    </w:p>
    <w:p w:rsidR="00DD2DA6" w:rsidRDefault="00DD2DA6" w:rsidP="00DD2DA6">
      <w:pPr>
        <w:rPr>
          <w:rFonts w:ascii="Arial" w:hAnsi="Arial" w:cs="Arial"/>
          <w:b w:val="0"/>
          <w:sz w:val="24"/>
          <w:u w:val="single"/>
        </w:rPr>
      </w:pPr>
    </w:p>
    <w:tbl>
      <w:tblPr>
        <w:tblW w:w="5469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566"/>
        <w:gridCol w:w="1113"/>
        <w:gridCol w:w="996"/>
        <w:gridCol w:w="7248"/>
      </w:tblGrid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R. 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br.</w:t>
            </w: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897375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ŠIFRA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Opis /podaci iz kolone 5-ostvareno za tekuće razdoblje</w:t>
            </w:r>
          </w:p>
        </w:tc>
      </w:tr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</w:tc>
      </w:tr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DD2DA6" w:rsidP="00E44715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            </w:t>
            </w:r>
            <w:r w:rsidR="00E44715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1.</w:t>
            </w: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897375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6526</w:t>
            </w: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6526</w:t>
            </w: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OSTALI PRIHODI ZA POSEBNE NAMJENE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OD </w:t>
            </w:r>
            <w:r w:rsidR="00E44715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98.421,48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E44715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PRIHODE OD PARTICIPACIJE RODITELJA U CIJENU KOŠTANJA VRTIĆA.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</w:tr>
      <w:tr w:rsidR="00297A91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297A91" w:rsidRDefault="00297A91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</w:t>
            </w: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297A91" w:rsidRDefault="00297A91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6711</w:t>
            </w: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297A91" w:rsidRDefault="00297A91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6711</w:t>
            </w: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297A91" w:rsidRDefault="00297A91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PRIHODI IZ PRORAČUNA ZA FINANCIRANJE RASHODA </w:t>
            </w:r>
          </w:p>
          <w:p w:rsidR="00297A91" w:rsidRDefault="00297A91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297A91" w:rsidRDefault="00297A91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POSLOVANJA</w:t>
            </w:r>
          </w:p>
          <w:p w:rsidR="00297A91" w:rsidRDefault="00297A91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297A91" w:rsidRPr="00297A91" w:rsidRDefault="00297A91" w:rsidP="00096425">
            <w:pPr>
              <w:spacing w:line="256" w:lineRule="auto"/>
              <w:rPr>
                <w:rFonts w:ascii="Arial" w:hAnsi="Arial" w:cs="Arial"/>
                <w:b w:val="0"/>
                <w:bCs/>
                <w:color w:val="FF0000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IZNOS 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562.389,92 EURA</w:t>
            </w:r>
            <w:r w:rsidR="00E26A74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ODNOSI SE NA NOVČANA SREDSTVA </w:t>
            </w:r>
            <w:r w:rsidRPr="00E44715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>KOJE NAM JE OSNIVAČ UPLATIO UGLAVNOM ZA PLAĆE,</w:t>
            </w:r>
            <w:r w:rsidR="00E44715" w:rsidRPr="00E44715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 xml:space="preserve"> </w:t>
            </w:r>
            <w:r w:rsidRPr="00E44715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>PRIJEVOZN</w:t>
            </w:r>
            <w:r w:rsidR="00E44715" w:rsidRPr="00E44715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>E I OSTALE TROŠKOVE ZAPOSLENIKA, POTPORE ZA BOLOVANJA I SMRTNE SLUČAJEVE. OD 9.MJ.2024g. UVEDENA JE UPLATA ZA STANARINU ZAPOSLENICA KOJE NISU S PODRUČJA OTOKA HVARA.  SVAKI MJESEC OPĆINA JELSA VRŠI UPLATU REFUNDACIJE ZA TREĆE I ČETVRTO DIJETE U OBITELJI. U 2024g M</w:t>
            </w:r>
            <w:bookmarkStart w:id="0" w:name="_GoBack"/>
            <w:bookmarkEnd w:id="0"/>
            <w:r w:rsidR="00E44715" w:rsidRPr="00E44715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>JESEĆNI IZNOS JE 571,00 EURA.</w:t>
            </w:r>
          </w:p>
        </w:tc>
      </w:tr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897375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4.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897375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6712</w:t>
            </w: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6712</w:t>
            </w: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>PRIHODI IZ PRORAČUNA ZA FIN</w:t>
            </w:r>
            <w:r w:rsidR="00E44715"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 xml:space="preserve">ANCIRANJE </w:t>
            </w:r>
            <w:r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>RASHODA ZA NABAVU NEFIN.IMOVINE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</w:pPr>
          </w:p>
          <w:p w:rsidR="00DD2DA6" w:rsidRDefault="00E44715" w:rsidP="005A444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IZNOS 19.197,33</w:t>
            </w:r>
            <w:r w:rsidR="00DD2DA6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ODNOSI SE NA UPLATE OPĆINE ZA </w:t>
            </w: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CIJELOKUPNU OPREMU ZA NOVE JASLICE JELSA OTVORENE 01.09.2024.G. TU SPADA KUHINJA I OSTALI POTREBNI NAMJEŠTAJ  ZA JASLICE, ZATIM PVC VRATA I PROZORE.</w:t>
            </w:r>
            <w:r w:rsidR="005A4446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OBAVEZNOM KOREKCIJOM SMANJEN JE VIŠAK PRIHODA , ALI TAKOĐER I MANJAK PRIHODA OD NEFINANCIJSKE IMOVINE. </w:t>
            </w:r>
          </w:p>
        </w:tc>
      </w:tr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EF037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897375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5.</w:t>
            </w: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FE399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312</w:t>
            </w: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312</w:t>
            </w: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>OSTALI RASHODI ZA ZAPOSLENE</w:t>
            </w:r>
          </w:p>
          <w:p w:rsidR="00DD2DA6" w:rsidRPr="0095297E" w:rsidRDefault="00BA30F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 w:rsidRPr="00995322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IZNOS </w:t>
            </w:r>
            <w:r w:rsidR="00096425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1 977,73 EURA</w:t>
            </w:r>
            <w:r w:rsidR="0095297E"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 xml:space="preserve"> </w:t>
            </w:r>
            <w:r w:rsidR="00FD5B97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ODNOSI SE</w:t>
            </w: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</w:t>
            </w:r>
            <w:r w:rsidR="00FD5B97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NA TROŠAK STANOVANJA ZA ZAPOSLENE KOJI NISU SA PODRUČJA OTOKA HVARA.</w:t>
            </w:r>
          </w:p>
          <w:p w:rsidR="00DD2DA6" w:rsidRDefault="00FD5B97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2.444,84 EURA ODNOSI SE NA </w:t>
            </w:r>
            <w:r w:rsidR="00DD2DA6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POMOĆ ZA BOLOVANJE PREKO 90 DANA ZA </w:t>
            </w:r>
            <w:r w:rsidR="00316F59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2024</w:t>
            </w:r>
            <w:r w:rsidR="00DD2DA6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 xml:space="preserve"> GODINU.</w:t>
            </w:r>
            <w:r w:rsidR="00FE3996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.</w:t>
            </w:r>
          </w:p>
          <w:p w:rsidR="00DD2DA6" w:rsidRDefault="000064B5" w:rsidP="00FE399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1.977,83 EURA ODNOSI SE NA JUBILARNE NAGRADE ZAPOSLENIKA.</w:t>
            </w:r>
            <w:r w:rsidR="00E26A74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.</w:t>
            </w:r>
          </w:p>
          <w:p w:rsidR="00FE3996" w:rsidRDefault="00624CB8" w:rsidP="000064B5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OVE TROŠKOVE U CIJELOSTI REFUNDIRA OĆINA JELSA.</w:t>
            </w:r>
          </w:p>
        </w:tc>
      </w:tr>
      <w:tr w:rsidR="00DD2DA6" w:rsidTr="00E44715">
        <w:trPr>
          <w:cantSplit/>
        </w:trPr>
        <w:tc>
          <w:tcPr>
            <w:tcW w:w="28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center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8.</w:t>
            </w:r>
          </w:p>
        </w:tc>
        <w:tc>
          <w:tcPr>
            <w:tcW w:w="56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DD2DA6" w:rsidRDefault="0091137D" w:rsidP="0091137D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321</w:t>
            </w:r>
          </w:p>
        </w:tc>
        <w:tc>
          <w:tcPr>
            <w:tcW w:w="50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3211</w:t>
            </w:r>
          </w:p>
        </w:tc>
        <w:tc>
          <w:tcPr>
            <w:tcW w:w="3652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b w:val="0"/>
                <w:u w:val="single"/>
                <w:lang w:eastAsia="en-US"/>
              </w:rPr>
            </w:pPr>
            <w:r>
              <w:rPr>
                <w:b w:val="0"/>
                <w:u w:val="single"/>
                <w:lang w:eastAsia="en-US"/>
              </w:rPr>
              <w:t>SLUŽBENA PUTOVANJA</w:t>
            </w:r>
          </w:p>
          <w:p w:rsidR="00DD2DA6" w:rsidRDefault="00DD2DA6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UKUPAN IZNOS </w:t>
            </w:r>
            <w:r w:rsidR="000064B5">
              <w:rPr>
                <w:b w:val="0"/>
                <w:lang w:eastAsia="en-US"/>
              </w:rPr>
              <w:t>2.532,94 EURA.</w:t>
            </w:r>
          </w:p>
          <w:p w:rsidR="00DD2DA6" w:rsidRDefault="00DD2DA6">
            <w:pPr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IZNOS </w:t>
            </w:r>
            <w:r w:rsidR="000064B5">
              <w:rPr>
                <w:b w:val="0"/>
                <w:lang w:eastAsia="en-US"/>
              </w:rPr>
              <w:t>672,00 EURA</w:t>
            </w:r>
            <w:r>
              <w:rPr>
                <w:b w:val="0"/>
                <w:lang w:eastAsia="en-US"/>
              </w:rPr>
              <w:t xml:space="preserve"> ODNOSI SE NA DNEVNICE ZA SEMINARE U ZEMLJI</w:t>
            </w:r>
            <w:r w:rsidR="00096425">
              <w:rPr>
                <w:b w:val="0"/>
                <w:lang w:eastAsia="en-US"/>
              </w:rPr>
              <w:t xml:space="preserve">, </w:t>
            </w:r>
            <w:r>
              <w:rPr>
                <w:b w:val="0"/>
                <w:lang w:eastAsia="en-US"/>
              </w:rPr>
              <w:t xml:space="preserve">IZNOS </w:t>
            </w:r>
            <w:r w:rsidR="000064B5">
              <w:rPr>
                <w:b w:val="0"/>
                <w:lang w:eastAsia="en-US"/>
              </w:rPr>
              <w:t>899,68 EURA ODNOSI SE ZA NAKNADE ZA SMJEŠTAJ NA SLUŽBENOM PUTU</w:t>
            </w:r>
            <w:r w:rsidR="00096425">
              <w:rPr>
                <w:b w:val="0"/>
                <w:lang w:eastAsia="en-US"/>
              </w:rPr>
              <w:t xml:space="preserve">, </w:t>
            </w:r>
            <w:r w:rsidR="000064B5">
              <w:rPr>
                <w:b w:val="0"/>
                <w:lang w:eastAsia="en-US"/>
              </w:rPr>
              <w:t>IZNOS 901,26 EURA</w:t>
            </w:r>
            <w:r w:rsidR="00FE3996">
              <w:rPr>
                <w:b w:val="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ODNOSI SE NAKNAD</w:t>
            </w:r>
            <w:r w:rsidR="00096425">
              <w:rPr>
                <w:b w:val="0"/>
                <w:lang w:eastAsia="en-US"/>
              </w:rPr>
              <w:t xml:space="preserve">E ZA PRIJEVOZ NA SLUŽBENOM PUTU. </w:t>
            </w:r>
            <w:r w:rsidR="000064B5">
              <w:rPr>
                <w:b w:val="0"/>
                <w:lang w:eastAsia="en-US"/>
              </w:rPr>
              <w:t>NA OSTALE TROŠKOVE NA SLUŽBENOM PUTU IZNOS 60,00 EURA.</w:t>
            </w:r>
          </w:p>
          <w:p w:rsidR="00DD2DA6" w:rsidRDefault="00DD2DA6" w:rsidP="000064B5">
            <w:pPr>
              <w:spacing w:line="256" w:lineRule="auto"/>
              <w:rPr>
                <w:b w:val="0"/>
                <w:lang w:eastAsia="en-US"/>
              </w:rPr>
            </w:pPr>
          </w:p>
        </w:tc>
      </w:tr>
    </w:tbl>
    <w:tbl>
      <w:tblPr>
        <w:tblpPr w:leftFromText="180" w:rightFromText="180" w:bottomFromText="160" w:vertAnchor="text" w:horzAnchor="margin" w:tblpY="143"/>
        <w:tblW w:w="5391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792"/>
        <w:gridCol w:w="910"/>
        <w:gridCol w:w="1054"/>
        <w:gridCol w:w="7025"/>
      </w:tblGrid>
      <w:tr w:rsidR="00DD2DA6" w:rsidTr="00C0065E">
        <w:trPr>
          <w:cantSplit/>
          <w:trHeight w:val="9893"/>
        </w:trPr>
        <w:tc>
          <w:tcPr>
            <w:tcW w:w="40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9.          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10.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11.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12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14090F" w:rsidRDefault="0014090F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14090F" w:rsidRDefault="0014090F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14090F" w:rsidRDefault="0014090F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13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 xml:space="preserve">   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14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.</w:t>
            </w: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096425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15.</w:t>
            </w:r>
          </w:p>
        </w:tc>
        <w:tc>
          <w:tcPr>
            <w:tcW w:w="465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1A0703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321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322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14090F" w:rsidRDefault="0014090F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096425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323</w:t>
            </w: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4B4224" w:rsidRDefault="004B4224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3212       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3213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3214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3221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3222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CF33FE" w:rsidRDefault="00CF33FE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CF33FE" w:rsidRDefault="00CF33FE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CF33FE" w:rsidRDefault="00CF33FE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CF33FE" w:rsidRDefault="00CF33FE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CF33FE" w:rsidRDefault="00096425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3232</w:t>
            </w:r>
          </w:p>
          <w:p w:rsidR="00CF33FE" w:rsidRDefault="00CF33FE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3237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4B4224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3238</w:t>
            </w:r>
          </w:p>
          <w:p w:rsidR="004B4224" w:rsidRDefault="004B4224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</w:p>
          <w:p w:rsidR="00096425" w:rsidRDefault="00096425" w:rsidP="004B4224">
            <w:pPr>
              <w:spacing w:line="256" w:lineRule="auto"/>
              <w:rPr>
                <w:rFonts w:ascii="Arial" w:hAnsi="Arial" w:cs="Arial"/>
                <w:b w:val="0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lang w:eastAsia="en-US"/>
              </w:rPr>
              <w:t>3239</w:t>
            </w:r>
          </w:p>
        </w:tc>
        <w:tc>
          <w:tcPr>
            <w:tcW w:w="359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DD2DA6" w:rsidRDefault="00DD2DA6" w:rsidP="0014090F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NAKNADA ZA PRIJEVOZ NA POSAO I S POSLA</w:t>
            </w: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OD </w:t>
            </w:r>
            <w:r w:rsidR="00624CB8">
              <w:rPr>
                <w:rFonts w:ascii="Arial" w:hAnsi="Arial" w:cs="Arial"/>
                <w:b w:val="0"/>
                <w:bCs/>
                <w:color w:val="auto"/>
                <w:szCs w:val="22"/>
                <w:lang w:eastAsia="en-US"/>
              </w:rPr>
              <w:t>25.181,93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ODNOSI SE NA PUTNE TROŠKOVE ZAPOSLENIKA –PRIJEVOZ NA POSAO I S POSLA </w:t>
            </w:r>
            <w:r w:rsidR="00624CB8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</w:p>
          <w:p w:rsidR="00DD2DA6" w:rsidRPr="00624CB8" w:rsidRDefault="00624CB8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REFUNDIRA OPĆINA JELSA.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STRUČNO USAVRŠAVANJE ZAPOSLENIKA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3.985,00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KOTIZACIJU ZA SEMINARE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 RAZNE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SRUČNE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SKUPOVE I RADIONICE KOJE SE ODRŽAVAJU TOKOM GODINE.</w:t>
            </w:r>
          </w:p>
          <w:p w:rsidR="00DD2DA6" w:rsidRDefault="00DD2DA6">
            <w:pPr>
              <w:tabs>
                <w:tab w:val="left" w:pos="2022"/>
              </w:tabs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tabs>
                <w:tab w:val="left" w:pos="2022"/>
              </w:tabs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tabs>
                <w:tab w:val="left" w:pos="2022"/>
              </w:tabs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OSTALE NAKNADE ZAPOSLENICIMA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ab/>
            </w:r>
          </w:p>
          <w:p w:rsidR="00096425" w:rsidRDefault="00F27063">
            <w:pPr>
              <w:tabs>
                <w:tab w:val="left" w:pos="2022"/>
              </w:tabs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IZNOS 777,50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EURA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ODNOSI SE NA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;</w:t>
            </w:r>
          </w:p>
          <w:p w:rsidR="00F27063" w:rsidRDefault="00995322">
            <w:pPr>
              <w:tabs>
                <w:tab w:val="left" w:pos="2022"/>
              </w:tabs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NAKNAD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E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ZA KORIŠTENJE PRIV.AUTOMOBILA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U SLUŽBENE SVRHE, A NAJČEŠĆE SE TO ODNOSI NA ODLAZAK U SPLIT I KUPNJU POTREBNE ROBE ZA POSLOVANJE VRTIĆA..</w:t>
            </w:r>
          </w:p>
          <w:p w:rsidR="00F27063" w:rsidRDefault="00F27063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UREDSKI MATERIJAL I OSTALI MATER.RASHODI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UKUPAN 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12.964,23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OD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2.774,51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TROŠKOVE UREDSKO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G MATERIJALA. IZNOS 797.36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ODNOSI SE NA MATERIJAL ZA ČIŠĆENJE I ODRŽAVANJE.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8.520,71 EUR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ODNOSI SE NA MATERIJAL ZA HIGIJEN-</w:t>
            </w:r>
            <w:r w:rsidR="00FE399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POTREBE I NJEGU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SKE POTREBE DJECE.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OD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400,00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PRETPLATU NA ČASOPIS RIFA ZA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2024.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GODINU.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167,18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RADNU OBUĆU ZAPOSLENIKA.</w:t>
            </w:r>
          </w:p>
          <w:p w:rsidR="00DD2DA6" w:rsidRDefault="00FE399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NA OSTALE MATERIJALNE RASHODE ODNOSI SE 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304,47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MATERIJAL I SIROVINE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lastRenderedPageBreak/>
              <w:t>UKUPAN IZNOS: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 51.210,44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4.942,02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MATERIJAL ZA RAD S DJECOM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40.549,12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NAMIRNICE ZA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PREHRANU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DJECE U VRTIĆU I JASLIC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A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MA.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IZNOS OD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595,46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LJEKOVE I SANITETSKI PRIBOR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IZNOS 79,59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NA OSTALI MATERIJAL.</w:t>
            </w:r>
          </w:p>
          <w:p w:rsidR="00CF33FE" w:rsidRDefault="00CF33F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CF33FE" w:rsidRDefault="00CF33F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CF33F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USLUGE TEKUĆEG I INVESTICIJSKOG ODRŽAVANJA</w:t>
            </w:r>
          </w:p>
          <w:p w:rsidR="00DD2DA6" w:rsidRDefault="00CF33F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F2706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6.297,50 EURA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</w:t>
            </w:r>
            <w:r w:rsidR="00A6363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:</w:t>
            </w:r>
          </w:p>
          <w:p w:rsidR="00A63636" w:rsidRDefault="00A6363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VODOINSTALATERSKE RADOVE U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VRTIĆU JELSA I SVIRĆE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TE NA SERVIS I POPRAVAK MAŠINE ZA PRANJE SUĐA U IZNOSU 356,25 EURA.</w:t>
            </w:r>
          </w:p>
          <w:p w:rsidR="00A63636" w:rsidRDefault="00A6363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2E51D7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USLUGE AGENCIJA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0C3A3A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IZNOS</w:t>
            </w:r>
            <w:r w:rsidR="00DD2DA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585,82 EURA ODNOSI SE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NA</w:t>
            </w:r>
            <w:r w:rsidR="00DD2DA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USLUGE FIN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A</w:t>
            </w:r>
            <w:r w:rsidR="00DD2DA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FE399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AGENCIJE.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RAČUNALNE USLUGE</w:t>
            </w:r>
          </w:p>
          <w:p w:rsidR="00DD2DA6" w:rsidRDefault="00DD2DA6">
            <w:pPr>
              <w:spacing w:line="256" w:lineRule="auto"/>
              <w:ind w:firstLine="60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I</w:t>
            </w:r>
            <w:r w:rsidRP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ZNOS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3.922,90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ODNOSI SE NA USLUGU BOLTANO PODRŠKE</w:t>
            </w:r>
            <w:r w:rsidR="000C3A3A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I ODRŽAVANJA PROGRAMA RAČUNALA,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TE NA ODRŽAVANJE WEB STRANICE</w:t>
            </w:r>
            <w:r w:rsidR="000C3A3A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I</w:t>
            </w:r>
            <w:r w:rsidR="00FE399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NA ANTI VIRUSNI PROGRAM.</w:t>
            </w: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OSTALE USLUGE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 13.891,09 EURA</w:t>
            </w: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. </w:t>
            </w: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1.540,54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TROŠ.USLUGA „ALFA ATESTA</w:t>
            </w:r>
          </w:p>
          <w:p w:rsidR="00DD2DA6" w:rsidRDefault="00DD2DA6">
            <w:pPr>
              <w:spacing w:line="256" w:lineRule="auto"/>
              <w:ind w:firstLine="60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ZAŠTITE NA RADU  I ISPITIVANJA  PROSTORA ZA JASLICE. </w:t>
            </w:r>
          </w:p>
          <w:p w:rsidR="00DD2DA6" w:rsidRDefault="00DD2DA6">
            <w:pPr>
              <w:spacing w:line="256" w:lineRule="auto"/>
              <w:ind w:firstLine="60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9953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505,30EURA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</w:t>
            </w:r>
            <w:r w:rsidR="00FE399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IZRADU FOTOGRAFIJA</w:t>
            </w:r>
          </w:p>
          <w:p w:rsidR="00DD2DA6" w:rsidRDefault="00C0065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IZNOS 10.396,05 EURA ODNOSI SE NA USLUGE RESTORANA ZA KUHANJE OBROKA VRTIĆKE DJECE U 08.MJ.2024.G.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DD2DA6" w:rsidTr="00C0065E">
        <w:trPr>
          <w:cantSplit/>
          <w:trHeight w:val="9893"/>
        </w:trPr>
        <w:tc>
          <w:tcPr>
            <w:tcW w:w="405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16</w:t>
            </w:r>
            <w:r w:rsidR="00DD2DA6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17.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9D5802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18</w:t>
            </w:r>
            <w:r w:rsidR="00AD5DB9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096425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19.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.</w:t>
            </w:r>
          </w:p>
        </w:tc>
        <w:tc>
          <w:tcPr>
            <w:tcW w:w="465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1A0703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329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343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1A0703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3812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Pr="00A1239F" w:rsidRDefault="00096425">
            <w:pPr>
              <w:spacing w:line="256" w:lineRule="auto"/>
              <w:rPr>
                <w:rFonts w:ascii="Arial" w:hAnsi="Arial" w:cs="Arial"/>
                <w:bCs/>
                <w:color w:val="auto"/>
                <w:sz w:val="24"/>
                <w:lang w:eastAsia="en-US"/>
              </w:rPr>
            </w:pPr>
            <w:r w:rsidRPr="00A1239F">
              <w:rPr>
                <w:rFonts w:ascii="Arial" w:hAnsi="Arial" w:cs="Arial"/>
                <w:bCs/>
                <w:color w:val="auto"/>
                <w:sz w:val="24"/>
                <w:lang w:eastAsia="en-US"/>
              </w:rPr>
              <w:t>422</w:t>
            </w: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3292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3431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3812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4221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4227</w:t>
            </w:r>
          </w:p>
        </w:tc>
        <w:tc>
          <w:tcPr>
            <w:tcW w:w="3591" w:type="pct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PREMIJE OSIGURANJA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UKUPAN IZNOS: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2,213,86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OSIGURANJE DJECE                         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620,00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OSIGURANJE IMOVINE                     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889,86 EURA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OSIGURANJE ZAPOSLENIKA           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624,00 EURA</w:t>
            </w:r>
          </w:p>
          <w:p w:rsidR="00DD2DA6" w:rsidRDefault="00C0065E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IZNOS 2.030,07 EURA ODNOS SE NA DRUŽENJE I VEČERU POČETKOM LJETA, TE NA SVEĆANI BOŽIĆNI DOMJENAK 2024G.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AD5DB9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 w:rsidRPr="00AD5DB9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BANKARSKE USLUGE I USLUGE PLATNOG PROMETA</w:t>
            </w:r>
          </w:p>
          <w:p w:rsidR="00AD5DB9" w:rsidRPr="00AD5DB9" w:rsidRDefault="00AD5DB9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 w:rsidRPr="00AD5DB9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732,34 EURA</w:t>
            </w:r>
            <w:r w:rsidRPr="00AD5DB9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USLUGE Internet  BANKARSTVA I IZDAVANJE IZVODA OTP BANKE.</w:t>
            </w:r>
          </w:p>
          <w:p w:rsidR="00DD2DA6" w:rsidRPr="00AD5DB9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TEKUĆE DONACIJE –DJEČJI DAROVI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OD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21.832,94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NA NABAVU DJEČJIH DAROVA </w:t>
            </w:r>
            <w:r w:rsidR="00C0065E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ZA BOŽIĆ ZA SVU DJECU KOJI POHAĐAJU VRTIĆ, ALI ISTO TAKO I ONE KOJI NISU U VRTIĆU A NAVRŠILI SU GODINU DANA.</w:t>
            </w:r>
            <w:r w:rsidR="00CE234D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TAJ IZNOS IDE NA TERET OPĆINE JELSA.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     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 w:rsidRPr="00A1239F"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  <w:t>UREĐAJI,STROJEVI I OPREMA</w:t>
            </w:r>
            <w:r w:rsidR="00096425" w:rsidRPr="00A1239F"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  <w:t xml:space="preserve"> </w:t>
            </w:r>
            <w:r w:rsidR="00096425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 xml:space="preserve">- UKUPAN IZNOS JE 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  <w:t>13.384,88 EURA</w:t>
            </w:r>
          </w:p>
          <w:p w:rsidR="00096425" w:rsidRDefault="00096425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</w:p>
          <w:p w:rsidR="00DD2DA6" w:rsidRPr="00A1239F" w:rsidRDefault="00096425">
            <w:pPr>
              <w:spacing w:line="256" w:lineRule="auto"/>
              <w:jc w:val="both"/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</w:pPr>
            <w:r w:rsidRPr="00A1239F"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  <w:t>RAČU</w:t>
            </w:r>
            <w:r w:rsidR="00CE234D"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  <w:t>N</w:t>
            </w:r>
            <w:r w:rsidRPr="00A1239F">
              <w:rPr>
                <w:rFonts w:ascii="Arial" w:hAnsi="Arial" w:cs="Arial"/>
                <w:bCs/>
                <w:color w:val="auto"/>
                <w:sz w:val="24"/>
                <w:u w:val="single"/>
                <w:lang w:eastAsia="en-US"/>
              </w:rPr>
              <w:t>ALA I RAČUNALNA OPREMA</w:t>
            </w:r>
          </w:p>
          <w:p w:rsidR="00096425" w:rsidRPr="00A1239F" w:rsidRDefault="00096425">
            <w:pPr>
              <w:spacing w:line="256" w:lineRule="auto"/>
              <w:jc w:val="both"/>
              <w:rPr>
                <w:rFonts w:ascii="Arial" w:hAnsi="Arial" w:cs="Arial"/>
                <w:bCs/>
                <w:color w:val="auto"/>
                <w:sz w:val="24"/>
                <w:lang w:eastAsia="en-US"/>
              </w:rPr>
            </w:pPr>
          </w:p>
          <w:p w:rsidR="001A0703" w:rsidRDefault="00DD2DA6" w:rsidP="001A0703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IZNOS 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OD 1.039,88 EURA</w:t>
            </w: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ODNOSI SE 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KUPNJU PPRINTERA</w:t>
            </w:r>
            <w:r w:rsidR="001A070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MULTIFUNKCIJSKI , STALAK ZA PROJEKTORE </w:t>
            </w:r>
            <w:r w:rsidR="001A0703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U IZNOSU 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509,88 EURATE</w:t>
            </w:r>
            <w:r w:rsidR="00CE234D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,</w:t>
            </w:r>
            <w:r w:rsidR="007C2622"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 xml:space="preserve"> NOVO PRIJENOSNO RAČUNALO U IZNOSU 530,00 EURA.</w:t>
            </w:r>
          </w:p>
          <w:p w:rsidR="007C2622" w:rsidRDefault="007C2622" w:rsidP="001A0703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 w:rsidP="001A0703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7C2622" w:rsidRDefault="007C2622" w:rsidP="001A0703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</w:p>
          <w:p w:rsidR="00DD2DA6" w:rsidRDefault="007C2622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24"/>
                <w:lang w:eastAsia="en-US"/>
              </w:rPr>
              <w:t>IZNOS 12.345,00 EURA ODNOSI SE NA DOBAVU I POSTAVLJANJE KUHINJE ZA NOVI PROSTOR JASLIČKE SKUPINE U IZNOSU 2.900,00 EURA. NOVI NAMJEŠTAJ ZA POTREBE NOVIH JASLICA U IZNOSU 4.129,75 EURA. DVOKRILINI PROZOR I ULAZNA VRATA U IZNOSU 1.987,50 EURA. NA FRONTE ZA RADIJATORE ODNOSI SE IZNOS 3.327,75 EURA. CJELOKUPNI IZNOS REFUNDIRA OPĆINA JELSA.</w:t>
            </w:r>
          </w:p>
          <w:p w:rsidR="00DD2DA6" w:rsidRDefault="00DD2DA6">
            <w:pPr>
              <w:spacing w:line="256" w:lineRule="auto"/>
              <w:jc w:val="both"/>
              <w:rPr>
                <w:rFonts w:ascii="Arial" w:hAnsi="Arial" w:cs="Arial"/>
                <w:b w:val="0"/>
                <w:bCs/>
                <w:color w:val="auto"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Cs w:val="22"/>
                <w:u w:val="single"/>
                <w:lang w:eastAsia="en-US"/>
              </w:rPr>
              <w:t xml:space="preserve"> </w:t>
            </w:r>
          </w:p>
        </w:tc>
      </w:tr>
    </w:tbl>
    <w:p w:rsidR="00DD2DA6" w:rsidRDefault="00DD2DA6" w:rsidP="00DD2DA6">
      <w:pPr>
        <w:rPr>
          <w:b w:val="0"/>
        </w:rPr>
      </w:pPr>
      <w:r>
        <w:rPr>
          <w:b w:val="0"/>
        </w:rPr>
        <w:t xml:space="preserve">                                             </w:t>
      </w:r>
    </w:p>
    <w:p w:rsidR="00DD2DA6" w:rsidRDefault="00DD2DA6" w:rsidP="00DD2DA6">
      <w:pPr>
        <w:rPr>
          <w:b w:val="0"/>
        </w:rPr>
      </w:pPr>
      <w:r>
        <w:rPr>
          <w:b w:val="0"/>
        </w:rPr>
        <w:t xml:space="preserve">           </w:t>
      </w: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</w:p>
    <w:p w:rsidR="00773592" w:rsidRDefault="00773592" w:rsidP="00DD2DA6">
      <w:pPr>
        <w:rPr>
          <w:b w:val="0"/>
        </w:rPr>
      </w:pPr>
    </w:p>
    <w:p w:rsidR="00DD2DA6" w:rsidRPr="001648D9" w:rsidRDefault="00DD2DA6" w:rsidP="00DD2DA6">
      <w:r w:rsidRPr="001648D9">
        <w:t>BILJEŠKE UZ BILANCU</w:t>
      </w:r>
    </w:p>
    <w:p w:rsidR="00DD2DA6" w:rsidRDefault="00DD2DA6" w:rsidP="00DD2DA6">
      <w:pPr>
        <w:rPr>
          <w:b w:val="0"/>
        </w:rPr>
      </w:pPr>
      <w:r>
        <w:rPr>
          <w:b w:val="0"/>
        </w:rPr>
        <w:t xml:space="preserve">   </w:t>
      </w:r>
    </w:p>
    <w:p w:rsidR="00DD2DA6" w:rsidRDefault="00DD2DA6" w:rsidP="00DD2DA6">
      <w:pPr>
        <w:rPr>
          <w:b w:val="0"/>
        </w:rPr>
      </w:pPr>
    </w:p>
    <w:p w:rsidR="00DD2DA6" w:rsidRDefault="00DD2DA6" w:rsidP="00DD2DA6">
      <w:pPr>
        <w:rPr>
          <w:b w:val="0"/>
        </w:rPr>
      </w:pPr>
      <w:r>
        <w:rPr>
          <w:b w:val="0"/>
        </w:rPr>
        <w:t xml:space="preserve">1931      </w:t>
      </w:r>
      <w:r>
        <w:rPr>
          <w:b w:val="0"/>
          <w:u w:val="single"/>
        </w:rPr>
        <w:t>KONTINUIRANI RASHODI BUDUĆIH RAZDOBLJA</w:t>
      </w:r>
    </w:p>
    <w:p w:rsidR="00DD2DA6" w:rsidRPr="00096425" w:rsidRDefault="00DD2DA6" w:rsidP="00DD2DA6">
      <w:pPr>
        <w:rPr>
          <w:b w:val="0"/>
          <w:sz w:val="28"/>
          <w:szCs w:val="28"/>
        </w:rPr>
      </w:pPr>
      <w:r>
        <w:rPr>
          <w:b w:val="0"/>
        </w:rPr>
        <w:t xml:space="preserve">             </w:t>
      </w:r>
    </w:p>
    <w:p w:rsidR="00DD2DA6" w:rsidRPr="00096425" w:rsidRDefault="00DD2DA6" w:rsidP="00DD2DA6">
      <w:pPr>
        <w:rPr>
          <w:b w:val="0"/>
          <w:sz w:val="28"/>
          <w:szCs w:val="28"/>
        </w:rPr>
      </w:pPr>
      <w:r w:rsidRPr="00096425">
        <w:rPr>
          <w:b w:val="0"/>
          <w:sz w:val="28"/>
          <w:szCs w:val="28"/>
        </w:rPr>
        <w:t xml:space="preserve">IZNOS OD </w:t>
      </w:r>
      <w:r w:rsidR="007C2622" w:rsidRPr="00096425">
        <w:rPr>
          <w:b w:val="0"/>
          <w:sz w:val="28"/>
          <w:szCs w:val="28"/>
        </w:rPr>
        <w:t>59.064,11 EUR</w:t>
      </w:r>
      <w:r w:rsidRPr="00096425">
        <w:rPr>
          <w:b w:val="0"/>
          <w:sz w:val="28"/>
          <w:szCs w:val="28"/>
        </w:rPr>
        <w:t xml:space="preserve"> ODNOSI SE NA</w:t>
      </w:r>
      <w:r w:rsidR="007C2622" w:rsidRPr="00096425">
        <w:rPr>
          <w:b w:val="0"/>
          <w:sz w:val="28"/>
          <w:szCs w:val="28"/>
        </w:rPr>
        <w:t xml:space="preserve"> OBVEZE ZA </w:t>
      </w:r>
      <w:r w:rsidRPr="00096425">
        <w:rPr>
          <w:b w:val="0"/>
          <w:sz w:val="28"/>
          <w:szCs w:val="28"/>
        </w:rPr>
        <w:t xml:space="preserve"> PLAĆE ZAPOSLENIKA ZA</w:t>
      </w:r>
      <w:r>
        <w:rPr>
          <w:b w:val="0"/>
        </w:rPr>
        <w:t xml:space="preserve"> </w:t>
      </w:r>
      <w:r w:rsidRPr="00096425">
        <w:rPr>
          <w:b w:val="0"/>
          <w:sz w:val="28"/>
          <w:szCs w:val="28"/>
        </w:rPr>
        <w:t>12.MJ.20</w:t>
      </w:r>
      <w:r w:rsidR="0022296F" w:rsidRPr="00096425">
        <w:rPr>
          <w:b w:val="0"/>
          <w:sz w:val="28"/>
          <w:szCs w:val="28"/>
        </w:rPr>
        <w:t>24.</w:t>
      </w:r>
      <w:r w:rsidRPr="00096425">
        <w:rPr>
          <w:b w:val="0"/>
          <w:sz w:val="28"/>
          <w:szCs w:val="28"/>
        </w:rPr>
        <w:t xml:space="preserve"> g. </w:t>
      </w:r>
    </w:p>
    <w:p w:rsidR="00DD2DA6" w:rsidRPr="00096425" w:rsidRDefault="00DD2DA6" w:rsidP="00DD2DA6">
      <w:pPr>
        <w:rPr>
          <w:b w:val="0"/>
          <w:sz w:val="28"/>
          <w:szCs w:val="28"/>
        </w:rPr>
      </w:pPr>
      <w:r w:rsidRPr="00096425">
        <w:rPr>
          <w:b w:val="0"/>
          <w:sz w:val="28"/>
          <w:szCs w:val="28"/>
        </w:rPr>
        <w:t>KOJI ĆE BITI ISPLAĆENI U 01.MJ.20</w:t>
      </w:r>
      <w:r w:rsidR="0022296F" w:rsidRPr="00096425">
        <w:rPr>
          <w:b w:val="0"/>
          <w:sz w:val="28"/>
          <w:szCs w:val="28"/>
        </w:rPr>
        <w:t>24</w:t>
      </w:r>
      <w:r w:rsidRPr="00096425">
        <w:rPr>
          <w:b w:val="0"/>
          <w:sz w:val="28"/>
          <w:szCs w:val="28"/>
        </w:rPr>
        <w:t>.g.</w:t>
      </w:r>
    </w:p>
    <w:p w:rsidR="00DD2DA6" w:rsidRPr="00096425" w:rsidRDefault="007C2622" w:rsidP="00DD2DA6">
      <w:pPr>
        <w:rPr>
          <w:b w:val="0"/>
          <w:sz w:val="28"/>
          <w:szCs w:val="28"/>
        </w:rPr>
      </w:pPr>
      <w:r w:rsidRPr="00096425">
        <w:rPr>
          <w:b w:val="0"/>
          <w:sz w:val="28"/>
          <w:szCs w:val="28"/>
        </w:rPr>
        <w:t xml:space="preserve">VLASTITI IZVORI IZNOSE 63.287,05 EURA </w:t>
      </w:r>
    </w:p>
    <w:p w:rsidR="007C2622" w:rsidRPr="00096425" w:rsidRDefault="007C2622" w:rsidP="00DD2DA6">
      <w:pPr>
        <w:rPr>
          <w:b w:val="0"/>
          <w:sz w:val="28"/>
          <w:szCs w:val="28"/>
        </w:rPr>
      </w:pPr>
      <w:r w:rsidRPr="00096425">
        <w:rPr>
          <w:b w:val="0"/>
          <w:sz w:val="28"/>
          <w:szCs w:val="28"/>
        </w:rPr>
        <w:t>VLASTITI IZVORI</w:t>
      </w:r>
      <w:r w:rsidR="00096425">
        <w:rPr>
          <w:b w:val="0"/>
          <w:sz w:val="28"/>
          <w:szCs w:val="28"/>
        </w:rPr>
        <w:t>-</w:t>
      </w:r>
      <w:r w:rsidRPr="00096425">
        <w:rPr>
          <w:b w:val="0"/>
          <w:sz w:val="28"/>
          <w:szCs w:val="28"/>
        </w:rPr>
        <w:t xml:space="preserve"> IZ PRORAČUNA SU 10.117,20 EURA A OSTALI VLASTITI IZVORI</w:t>
      </w:r>
      <w:r w:rsidR="00096425">
        <w:rPr>
          <w:b w:val="0"/>
          <w:sz w:val="28"/>
          <w:szCs w:val="28"/>
        </w:rPr>
        <w:t>-</w:t>
      </w:r>
      <w:r w:rsidRPr="00096425">
        <w:rPr>
          <w:b w:val="0"/>
          <w:sz w:val="28"/>
          <w:szCs w:val="28"/>
        </w:rPr>
        <w:t xml:space="preserve"> KOJI SE ODNOSE NA OSOBNE IZVORE VRTIĆA </w:t>
      </w:r>
      <w:r w:rsidR="00096425">
        <w:rPr>
          <w:b w:val="0"/>
          <w:sz w:val="28"/>
          <w:szCs w:val="28"/>
        </w:rPr>
        <w:t xml:space="preserve"> </w:t>
      </w:r>
      <w:r w:rsidRPr="00096425">
        <w:rPr>
          <w:b w:val="0"/>
          <w:sz w:val="28"/>
          <w:szCs w:val="28"/>
        </w:rPr>
        <w:t>955,19 EURA.</w:t>
      </w:r>
    </w:p>
    <w:p w:rsidR="007C2622" w:rsidRPr="00096425" w:rsidRDefault="007C2622" w:rsidP="00DD2DA6">
      <w:pPr>
        <w:rPr>
          <w:b w:val="0"/>
          <w:sz w:val="28"/>
          <w:szCs w:val="28"/>
        </w:rPr>
      </w:pPr>
      <w:r w:rsidRPr="00096425">
        <w:rPr>
          <w:b w:val="0"/>
          <w:sz w:val="28"/>
          <w:szCs w:val="28"/>
        </w:rPr>
        <w:t xml:space="preserve">OBVEZE IZNOSE 66.196,86 EURA. </w:t>
      </w:r>
    </w:p>
    <w:p w:rsidR="007C2622" w:rsidRDefault="007C2622" w:rsidP="007C2622">
      <w:pPr>
        <w:rPr>
          <w:b w:val="0"/>
        </w:rPr>
      </w:pPr>
      <w:r w:rsidRPr="00096425">
        <w:rPr>
          <w:b w:val="0"/>
          <w:sz w:val="28"/>
          <w:szCs w:val="28"/>
        </w:rPr>
        <w:t>MATERIJALNI TROŠKOVI  KOJI NISU PLAĆENI U 2024</w:t>
      </w:r>
      <w:r w:rsidR="00096425">
        <w:rPr>
          <w:b w:val="0"/>
          <w:sz w:val="28"/>
          <w:szCs w:val="28"/>
        </w:rPr>
        <w:t xml:space="preserve"> </w:t>
      </w:r>
      <w:r w:rsidRPr="00096425">
        <w:rPr>
          <w:b w:val="0"/>
          <w:sz w:val="28"/>
          <w:szCs w:val="28"/>
        </w:rPr>
        <w:t>G. IZNOSE 4.017,01 EURA</w:t>
      </w:r>
      <w:r w:rsidR="00096425">
        <w:rPr>
          <w:b w:val="0"/>
          <w:sz w:val="28"/>
          <w:szCs w:val="28"/>
        </w:rPr>
        <w:t>,</w:t>
      </w:r>
      <w:r w:rsidRPr="00096425">
        <w:rPr>
          <w:b w:val="0"/>
          <w:sz w:val="28"/>
          <w:szCs w:val="28"/>
        </w:rPr>
        <w:t xml:space="preserve"> DOK </w:t>
      </w:r>
      <w:r w:rsidR="001648D9">
        <w:rPr>
          <w:b w:val="0"/>
          <w:sz w:val="28"/>
          <w:szCs w:val="28"/>
        </w:rPr>
        <w:t>OBVEZE ZA ZAPOSLENE</w:t>
      </w:r>
      <w:r w:rsidRPr="00096425">
        <w:rPr>
          <w:b w:val="0"/>
          <w:sz w:val="28"/>
          <w:szCs w:val="28"/>
        </w:rPr>
        <w:t xml:space="preserve"> IZNOSE 62.108,95EURA.IMOVINA UKUPNO IZNOSI 129.483,91 EURA. SA VIŠKOM POSLOVANJA I MANJAK</w:t>
      </w:r>
      <w:r w:rsidR="00096425">
        <w:rPr>
          <w:b w:val="0"/>
          <w:sz w:val="28"/>
          <w:szCs w:val="28"/>
        </w:rPr>
        <w:t>OM NEFINANCIJSKE IMOVINE,</w:t>
      </w:r>
      <w:r w:rsidRPr="00096425">
        <w:rPr>
          <w:b w:val="0"/>
          <w:sz w:val="28"/>
          <w:szCs w:val="28"/>
        </w:rPr>
        <w:t xml:space="preserve"> </w:t>
      </w:r>
      <w:r w:rsidR="00096425">
        <w:rPr>
          <w:b w:val="0"/>
          <w:sz w:val="28"/>
          <w:szCs w:val="28"/>
        </w:rPr>
        <w:t xml:space="preserve">KOJI SE PRENOSE U 2025.G. </w:t>
      </w:r>
      <w:r w:rsidRPr="00096425">
        <w:rPr>
          <w:b w:val="0"/>
          <w:sz w:val="28"/>
          <w:szCs w:val="28"/>
        </w:rPr>
        <w:t>ZADOVOLJENO JE PRAVILO I</w:t>
      </w:r>
      <w:r>
        <w:rPr>
          <w:b w:val="0"/>
        </w:rPr>
        <w:t>MOVINA = VLASTITI IZVORI +OBVEZE.</w:t>
      </w:r>
    </w:p>
    <w:p w:rsidR="00DD2DA6" w:rsidRDefault="001648D9" w:rsidP="00DD2DA6">
      <w:pPr>
        <w:rPr>
          <w:b w:val="0"/>
        </w:rPr>
      </w:pPr>
      <w:r>
        <w:rPr>
          <w:b w:val="0"/>
        </w:rPr>
        <w:t>MORAMO NAPOMENUTI DA VIŠAK POSLOVANJA KAO RAZLIKA RAZREDA 6 - PRIHODA I RAZREDA 3 - RASHODA IZNOSI 18 239,53 EURA. ALI U BILANCI UNOSIMO I PRENESENI VIŠAK IZ PRIJAŠNJIH GODINA,</w:t>
      </w:r>
      <w:r w:rsidR="00CE234D">
        <w:rPr>
          <w:b w:val="0"/>
        </w:rPr>
        <w:t xml:space="preserve"> </w:t>
      </w:r>
      <w:r>
        <w:rPr>
          <w:b w:val="0"/>
        </w:rPr>
        <w:t>ŠTO  NAM DAJE UKUPNI VIŠAK PRIHODA POSLOVANJA KOJI JE ZNATNO VEĆI.</w:t>
      </w:r>
      <w:r w:rsidR="00CE234D">
        <w:rPr>
          <w:b w:val="0"/>
        </w:rPr>
        <w:t xml:space="preserve"> </w:t>
      </w:r>
      <w:r>
        <w:rPr>
          <w:b w:val="0"/>
        </w:rPr>
        <w:t>TO SE ODNOSI I NA MANJAK PRIHODA POSLOVANJA.</w:t>
      </w:r>
    </w:p>
    <w:p w:rsidR="001648D9" w:rsidRDefault="001648D9" w:rsidP="00DD2DA6">
      <w:pPr>
        <w:rPr>
          <w:b w:val="0"/>
        </w:rPr>
      </w:pPr>
      <w:r>
        <w:rPr>
          <w:b w:val="0"/>
        </w:rPr>
        <w:t>JEDINU I OBAVEZNU KOREKCIJU KOJU SMO NAPRAVILI JE DA SMO ZA IZNOS PRIHODA IZ NADLEŽNOG PRORAČUNA ZA FINAN.RASHODA ZA NABAVU NEFINANCIJSKE IMOVINE KONTO 6712 UMANJILI VIŠAK PRIHODA POSLOVANJA, A ZA TAJ IZNOS SMANJILI UKUPNI MANJAK PRIHODA OD NEFINANCIJSKE IMOVINE.</w:t>
      </w:r>
    </w:p>
    <w:p w:rsidR="00DD2DA6" w:rsidRDefault="00DD2DA6" w:rsidP="00DD2DA6">
      <w:pPr>
        <w:rPr>
          <w:b w:val="0"/>
          <w:sz w:val="24"/>
          <w:szCs w:val="24"/>
        </w:rPr>
      </w:pPr>
    </w:p>
    <w:p w:rsidR="00DD2DA6" w:rsidRPr="00A1239F" w:rsidRDefault="00DD2DA6" w:rsidP="00DD2DA6">
      <w:pPr>
        <w:rPr>
          <w:sz w:val="24"/>
          <w:szCs w:val="24"/>
        </w:rPr>
      </w:pPr>
      <w:r w:rsidRPr="00A1239F">
        <w:rPr>
          <w:sz w:val="24"/>
          <w:szCs w:val="24"/>
        </w:rPr>
        <w:t xml:space="preserve">II.    </w:t>
      </w:r>
      <w:r w:rsidRPr="00A1239F">
        <w:rPr>
          <w:sz w:val="24"/>
          <w:szCs w:val="24"/>
          <w:u w:val="single"/>
        </w:rPr>
        <w:t>BILJEŠKE UZ IZVJEŠTAJ O OBVEZAMA</w:t>
      </w:r>
    </w:p>
    <w:p w:rsidR="00DD2DA6" w:rsidRDefault="00DD2DA6" w:rsidP="00DD2DA6">
      <w:pPr>
        <w:rPr>
          <w:b w:val="0"/>
          <w:sz w:val="24"/>
          <w:szCs w:val="24"/>
        </w:rPr>
      </w:pPr>
    </w:p>
    <w:p w:rsidR="00DD2DA6" w:rsidRPr="007C2622" w:rsidRDefault="00DD2DA6" w:rsidP="007C2622">
      <w:pPr>
        <w:rPr>
          <w:b w:val="0"/>
          <w:sz w:val="24"/>
          <w:szCs w:val="24"/>
        </w:rPr>
      </w:pPr>
      <w:r w:rsidRPr="007C2622">
        <w:rPr>
          <w:b w:val="0"/>
          <w:sz w:val="24"/>
          <w:szCs w:val="24"/>
        </w:rPr>
        <w:t xml:space="preserve">        </w:t>
      </w:r>
      <w:r w:rsidRPr="007C2622">
        <w:rPr>
          <w:b w:val="0"/>
          <w:sz w:val="24"/>
          <w:szCs w:val="24"/>
          <w:u w:val="single"/>
        </w:rPr>
        <w:t>STANJE NEDOSPJELIH OBVEZA NA KRAJU IZVJEŠTAJNOG RAZDOBLJA</w:t>
      </w:r>
    </w:p>
    <w:p w:rsidR="007C2622" w:rsidRDefault="007C2622" w:rsidP="007C2622">
      <w:pPr>
        <w:rPr>
          <w:b w:val="0"/>
          <w:sz w:val="24"/>
          <w:szCs w:val="24"/>
        </w:rPr>
      </w:pPr>
    </w:p>
    <w:p w:rsidR="007C2622" w:rsidRPr="007C2622" w:rsidRDefault="007C2622" w:rsidP="007C2622">
      <w:pPr>
        <w:rPr>
          <w:b w:val="0"/>
          <w:sz w:val="24"/>
          <w:szCs w:val="24"/>
        </w:rPr>
      </w:pPr>
    </w:p>
    <w:p w:rsidR="00DD2DA6" w:rsidRPr="007C2622" w:rsidRDefault="007C2622" w:rsidP="007C2622">
      <w:pPr>
        <w:pStyle w:val="Odlomakpopisa"/>
        <w:numPr>
          <w:ilvl w:val="0"/>
          <w:numId w:val="2"/>
        </w:numPr>
        <w:tabs>
          <w:tab w:val="left" w:pos="8180"/>
        </w:tabs>
        <w:rPr>
          <w:b w:val="0"/>
          <w:sz w:val="24"/>
          <w:szCs w:val="24"/>
        </w:rPr>
      </w:pPr>
      <w:r w:rsidRPr="007C2622">
        <w:rPr>
          <w:color w:val="000000" w:themeColor="text1"/>
          <w:sz w:val="24"/>
          <w:szCs w:val="24"/>
        </w:rPr>
        <w:t>N231  231</w:t>
      </w:r>
      <w:r w:rsidRPr="007C2622">
        <w:rPr>
          <w:b w:val="0"/>
          <w:color w:val="000000" w:themeColor="text1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>IZNOS 62.108,95 EURA ODNOSI SE NA PLAĆE I DOPRINOSE ZAPOSLENIKA</w:t>
      </w:r>
      <w:r w:rsidR="00DD2DA6" w:rsidRPr="007C262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U IZNOSU 59.064,11 EUR ZA ZAPOSLENE TE IZNOS 2.444,84 EURA NA BOLOVANJA RADNIKA KOJE REFUNDIRA HZZO, TE ZA STANOVANJE 600,00 EURA ZAPOSLENICAMA KOJE NISU SA PODRUČJA OTOKA HVARA I KOJI MORAJU PLAĆATI STANARINU.</w:t>
      </w:r>
      <w:r w:rsidR="00DD2DA6" w:rsidRPr="007C2622">
        <w:rPr>
          <w:b w:val="0"/>
          <w:sz w:val="24"/>
          <w:szCs w:val="24"/>
        </w:rPr>
        <w:t xml:space="preserve">                  </w:t>
      </w:r>
      <w:r w:rsidR="00DD2DA6" w:rsidRPr="007C2622">
        <w:rPr>
          <w:b w:val="0"/>
          <w:sz w:val="24"/>
          <w:szCs w:val="24"/>
        </w:rPr>
        <w:tab/>
      </w: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.</w:t>
      </w:r>
    </w:p>
    <w:p w:rsidR="00DD2DA6" w:rsidRPr="007C2622" w:rsidRDefault="007C2622" w:rsidP="007C2622">
      <w:pPr>
        <w:pStyle w:val="Odlomakpopisa"/>
        <w:numPr>
          <w:ilvl w:val="0"/>
          <w:numId w:val="2"/>
        </w:numPr>
        <w:tabs>
          <w:tab w:val="left" w:pos="8180"/>
        </w:tabs>
        <w:rPr>
          <w:b w:val="0"/>
          <w:sz w:val="24"/>
          <w:szCs w:val="24"/>
        </w:rPr>
      </w:pPr>
      <w:r w:rsidRPr="007C2622">
        <w:rPr>
          <w:sz w:val="24"/>
          <w:szCs w:val="24"/>
        </w:rPr>
        <w:t xml:space="preserve"> V006</w:t>
      </w:r>
      <w:r>
        <w:rPr>
          <w:b w:val="0"/>
          <w:sz w:val="24"/>
          <w:szCs w:val="24"/>
        </w:rPr>
        <w:t xml:space="preserve">            STANJE OBVEZA NA KRAJU IZVJEŠTAJNOG RAZDOBLJA JE 66.196,86 EURA U </w:t>
      </w:r>
      <w:r w:rsidR="00CE234D">
        <w:rPr>
          <w:b w:val="0"/>
          <w:sz w:val="24"/>
          <w:szCs w:val="24"/>
        </w:rPr>
        <w:t>TAJ IZNOS ULAZI</w:t>
      </w:r>
      <w:r>
        <w:rPr>
          <w:b w:val="0"/>
          <w:sz w:val="24"/>
          <w:szCs w:val="24"/>
        </w:rPr>
        <w:t xml:space="preserve"> OBVEZE ZA PLAĆE U IZNOSU 62.108,95 EURA, ZATIM TROŠKOVI PRIJEVOZA ZAPOSLENIKA U IZNO</w:t>
      </w:r>
      <w:r w:rsidR="00CE234D">
        <w:rPr>
          <w:b w:val="0"/>
          <w:sz w:val="24"/>
          <w:szCs w:val="24"/>
        </w:rPr>
        <w:t>SU 2.141,32 EURA. OSTALE OBVEZE TE</w:t>
      </w:r>
      <w:r>
        <w:rPr>
          <w:b w:val="0"/>
          <w:sz w:val="24"/>
          <w:szCs w:val="24"/>
        </w:rPr>
        <w:t xml:space="preserve"> RAČUNI KOJI NISU PLAĆENI DO 31.12.2024.G. IZNOSE 1.946,59 EURA .</w:t>
      </w: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A1239F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</w:t>
      </w:r>
    </w:p>
    <w:p w:rsidR="00DD2DA6" w:rsidRPr="00A1239F" w:rsidRDefault="00DD2DA6" w:rsidP="00DD2DA6">
      <w:pPr>
        <w:tabs>
          <w:tab w:val="left" w:pos="8180"/>
        </w:tabs>
        <w:rPr>
          <w:sz w:val="24"/>
          <w:szCs w:val="24"/>
        </w:rPr>
      </w:pPr>
      <w:r w:rsidRPr="00A1239F">
        <w:rPr>
          <w:sz w:val="24"/>
          <w:szCs w:val="24"/>
        </w:rPr>
        <w:t>III</w:t>
      </w:r>
      <w:r w:rsidR="00A1239F">
        <w:rPr>
          <w:sz w:val="24"/>
          <w:szCs w:val="24"/>
        </w:rPr>
        <w:t xml:space="preserve">. </w:t>
      </w:r>
      <w:r w:rsidRPr="00A1239F">
        <w:rPr>
          <w:sz w:val="24"/>
          <w:szCs w:val="24"/>
        </w:rPr>
        <w:t>BILJEŠKE UZ IZVJEŠTAJ O RASHODIMA PREMA FUNKCIJSKOJ KLASIFIKACIJI</w:t>
      </w:r>
    </w:p>
    <w:p w:rsidR="00DD2DA6" w:rsidRPr="00A1239F" w:rsidRDefault="00DD2DA6" w:rsidP="00A1239F">
      <w:pPr>
        <w:tabs>
          <w:tab w:val="left" w:pos="8180"/>
        </w:tabs>
        <w:jc w:val="center"/>
        <w:rPr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7C2622" w:rsidRPr="007C2622" w:rsidRDefault="007C2622" w:rsidP="007C2622">
      <w:pPr>
        <w:pStyle w:val="Odlomakpopisa"/>
        <w:numPr>
          <w:ilvl w:val="0"/>
          <w:numId w:val="3"/>
        </w:numPr>
        <w:tabs>
          <w:tab w:val="left" w:pos="8180"/>
        </w:tabs>
        <w:rPr>
          <w:b w:val="0"/>
          <w:sz w:val="24"/>
          <w:szCs w:val="24"/>
        </w:rPr>
      </w:pPr>
      <w:r w:rsidRPr="00A322A1">
        <w:rPr>
          <w:sz w:val="24"/>
          <w:szCs w:val="24"/>
        </w:rPr>
        <w:t xml:space="preserve">     09</w:t>
      </w:r>
      <w:r>
        <w:rPr>
          <w:b w:val="0"/>
          <w:sz w:val="24"/>
          <w:szCs w:val="24"/>
        </w:rPr>
        <w:t xml:space="preserve">   </w:t>
      </w:r>
      <w:r w:rsidR="00DD2DA6" w:rsidRPr="007C2622">
        <w:rPr>
          <w:b w:val="0"/>
          <w:sz w:val="24"/>
          <w:szCs w:val="24"/>
        </w:rPr>
        <w:t xml:space="preserve"> PREDŠKOLSKO OBRAZOVANJE</w:t>
      </w:r>
      <w:r>
        <w:rPr>
          <w:b w:val="0"/>
          <w:sz w:val="24"/>
          <w:szCs w:val="24"/>
        </w:rPr>
        <w:t xml:space="preserve">   </w:t>
      </w:r>
      <w:r w:rsidRPr="007C2622">
        <w:rPr>
          <w:b w:val="0"/>
          <w:sz w:val="24"/>
          <w:szCs w:val="24"/>
        </w:rPr>
        <w:t xml:space="preserve"> IZNOSI 693.529,97 EURA</w:t>
      </w:r>
      <w:r>
        <w:rPr>
          <w:b w:val="0"/>
          <w:sz w:val="24"/>
          <w:szCs w:val="24"/>
        </w:rPr>
        <w:t>.</w:t>
      </w:r>
      <w:r w:rsidRPr="007C2622">
        <w:rPr>
          <w:b w:val="0"/>
          <w:sz w:val="24"/>
          <w:szCs w:val="24"/>
        </w:rPr>
        <w:t xml:space="preserve">  ODNOSI SE NA TROŠKOVE RASHODA</w:t>
      </w:r>
      <w:r w:rsidR="00096425">
        <w:rPr>
          <w:b w:val="0"/>
          <w:sz w:val="24"/>
          <w:szCs w:val="24"/>
        </w:rPr>
        <w:t xml:space="preserve"> -</w:t>
      </w:r>
      <w:r w:rsidRPr="007C2622">
        <w:rPr>
          <w:b w:val="0"/>
          <w:sz w:val="24"/>
          <w:szCs w:val="24"/>
        </w:rPr>
        <w:t xml:space="preserve"> RAZREDA </w:t>
      </w:r>
      <w:r w:rsidRPr="00096425">
        <w:rPr>
          <w:sz w:val="24"/>
          <w:szCs w:val="24"/>
        </w:rPr>
        <w:t xml:space="preserve">3 </w:t>
      </w:r>
      <w:r w:rsidRPr="007C2622">
        <w:rPr>
          <w:b w:val="0"/>
          <w:sz w:val="24"/>
          <w:szCs w:val="24"/>
        </w:rPr>
        <w:t xml:space="preserve"> I</w:t>
      </w:r>
      <w:r w:rsidR="00096425">
        <w:rPr>
          <w:b w:val="0"/>
          <w:sz w:val="24"/>
          <w:szCs w:val="24"/>
        </w:rPr>
        <w:t xml:space="preserve"> </w:t>
      </w:r>
      <w:r w:rsidRPr="007C2622">
        <w:rPr>
          <w:b w:val="0"/>
          <w:sz w:val="24"/>
          <w:szCs w:val="24"/>
        </w:rPr>
        <w:t xml:space="preserve"> RASHODA </w:t>
      </w:r>
      <w:r w:rsidR="00096425" w:rsidRPr="00096425">
        <w:rPr>
          <w:sz w:val="24"/>
          <w:szCs w:val="24"/>
        </w:rPr>
        <w:t xml:space="preserve">4 </w:t>
      </w:r>
      <w:r w:rsidR="00096425">
        <w:rPr>
          <w:b w:val="0"/>
          <w:sz w:val="24"/>
          <w:szCs w:val="24"/>
        </w:rPr>
        <w:t xml:space="preserve"> </w:t>
      </w:r>
      <w:r w:rsidRPr="007C2622">
        <w:rPr>
          <w:b w:val="0"/>
          <w:sz w:val="24"/>
          <w:szCs w:val="24"/>
        </w:rPr>
        <w:t>ZA  NABA</w:t>
      </w:r>
      <w:r w:rsidR="00096425">
        <w:rPr>
          <w:b w:val="0"/>
          <w:sz w:val="24"/>
          <w:szCs w:val="24"/>
        </w:rPr>
        <w:t xml:space="preserve">VU NEFINANCIJSKE IMOVINE </w:t>
      </w:r>
      <w:r>
        <w:rPr>
          <w:b w:val="0"/>
          <w:sz w:val="24"/>
          <w:szCs w:val="24"/>
        </w:rPr>
        <w:t xml:space="preserve"> UMANJENO ZA TROŠKOVE PREHRANE DJECE U VRTIĆU U IZNOSU 40.549,12 EURA.</w:t>
      </w:r>
    </w:p>
    <w:p w:rsidR="007C2622" w:rsidRDefault="007C2622" w:rsidP="007C2622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, </w:t>
      </w:r>
    </w:p>
    <w:p w:rsidR="007C2622" w:rsidRDefault="007C2622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UKUPAN IZNOS 693 529,97 EURA. ODGOVARA IZNOSU ŠIFRE Y345 I PRAS-U (UKUPNI RASHODI I IZDACI).</w:t>
      </w:r>
    </w:p>
    <w:p w:rsidR="007C2622" w:rsidRPr="007C2622" w:rsidRDefault="007C2622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 JELSI</w:t>
      </w:r>
      <w:r w:rsidR="00BF5CBD">
        <w:rPr>
          <w:b w:val="0"/>
          <w:sz w:val="24"/>
          <w:szCs w:val="24"/>
        </w:rPr>
        <w:t>,30</w:t>
      </w:r>
      <w:r>
        <w:rPr>
          <w:b w:val="0"/>
          <w:sz w:val="24"/>
          <w:szCs w:val="24"/>
        </w:rPr>
        <w:t>.01.202</w:t>
      </w:r>
      <w:r w:rsidR="0022296F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.g</w:t>
      </w: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Voditelj računovodstva :                                                                 Zakonski predstavnik:</w:t>
      </w: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DD2DA6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</w:p>
    <w:p w:rsidR="00BF5CBD" w:rsidRDefault="00DD2DA6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     </w:t>
      </w:r>
    </w:p>
    <w:p w:rsidR="00DD2DA6" w:rsidRDefault="00BF5CBD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ĐURĐICA PLENKOVIĆ</w:t>
      </w:r>
      <w:r w:rsidR="00DD2DA6">
        <w:rPr>
          <w:b w:val="0"/>
          <w:sz w:val="24"/>
          <w:szCs w:val="24"/>
        </w:rPr>
        <w:t xml:space="preserve">                                                                   __________________</w:t>
      </w:r>
    </w:p>
    <w:p w:rsidR="00BF5CBD" w:rsidRDefault="00BF5CBD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IVANA GURDULIĆ      </w:t>
      </w:r>
    </w:p>
    <w:p w:rsidR="00BF5CBD" w:rsidRDefault="00BF5CBD" w:rsidP="00DD2DA6">
      <w:pPr>
        <w:tabs>
          <w:tab w:val="left" w:pos="818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</w:t>
      </w:r>
    </w:p>
    <w:sectPr w:rsidR="00BF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4F1A"/>
    <w:multiLevelType w:val="hybridMultilevel"/>
    <w:tmpl w:val="20D4BCFA"/>
    <w:lvl w:ilvl="0" w:tplc="3E6ACA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0F221D3"/>
    <w:multiLevelType w:val="hybridMultilevel"/>
    <w:tmpl w:val="46EE809C"/>
    <w:lvl w:ilvl="0" w:tplc="9B0A7B0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11C0104"/>
    <w:multiLevelType w:val="hybridMultilevel"/>
    <w:tmpl w:val="EC62ED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6"/>
    <w:rsid w:val="000064B5"/>
    <w:rsid w:val="00096425"/>
    <w:rsid w:val="000C3A3A"/>
    <w:rsid w:val="0014090F"/>
    <w:rsid w:val="001648D9"/>
    <w:rsid w:val="001A0703"/>
    <w:rsid w:val="001D1E78"/>
    <w:rsid w:val="0022296F"/>
    <w:rsid w:val="00297A91"/>
    <w:rsid w:val="002E51D7"/>
    <w:rsid w:val="00310CEE"/>
    <w:rsid w:val="00316F59"/>
    <w:rsid w:val="004B4224"/>
    <w:rsid w:val="005315AE"/>
    <w:rsid w:val="005635C5"/>
    <w:rsid w:val="00573E79"/>
    <w:rsid w:val="005A4446"/>
    <w:rsid w:val="00624CB8"/>
    <w:rsid w:val="0063708A"/>
    <w:rsid w:val="0073455E"/>
    <w:rsid w:val="00773592"/>
    <w:rsid w:val="007B5E99"/>
    <w:rsid w:val="007C2622"/>
    <w:rsid w:val="007D046F"/>
    <w:rsid w:val="008073F3"/>
    <w:rsid w:val="00897375"/>
    <w:rsid w:val="0091137D"/>
    <w:rsid w:val="0095297E"/>
    <w:rsid w:val="00995322"/>
    <w:rsid w:val="009D5802"/>
    <w:rsid w:val="00A1239F"/>
    <w:rsid w:val="00A322A1"/>
    <w:rsid w:val="00A63636"/>
    <w:rsid w:val="00AD5DB9"/>
    <w:rsid w:val="00AD7B7D"/>
    <w:rsid w:val="00BA30F2"/>
    <w:rsid w:val="00BD5FEE"/>
    <w:rsid w:val="00BF5CBD"/>
    <w:rsid w:val="00C0065E"/>
    <w:rsid w:val="00CE234D"/>
    <w:rsid w:val="00CF33FE"/>
    <w:rsid w:val="00DD2DA6"/>
    <w:rsid w:val="00DD6617"/>
    <w:rsid w:val="00E26A74"/>
    <w:rsid w:val="00E44715"/>
    <w:rsid w:val="00EF0372"/>
    <w:rsid w:val="00F27063"/>
    <w:rsid w:val="00F47FFD"/>
    <w:rsid w:val="00FD5B97"/>
    <w:rsid w:val="00F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2EA7-B817-483E-ACB2-3B980871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A6"/>
    <w:pPr>
      <w:spacing w:after="0" w:line="240" w:lineRule="auto"/>
    </w:pPr>
    <w:rPr>
      <w:rFonts w:ascii="Times New Roman" w:eastAsia="Times New Roman" w:hAnsi="Times New Roman" w:cs="Times New Roman"/>
      <w:b/>
      <w:iCs/>
      <w:color w:val="00000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DD2DA6"/>
    <w:pPr>
      <w:keepNext/>
      <w:outlineLvl w:val="0"/>
    </w:pPr>
  </w:style>
  <w:style w:type="paragraph" w:styleId="Naslov6">
    <w:name w:val="heading 6"/>
    <w:basedOn w:val="Normal"/>
    <w:next w:val="Normal"/>
    <w:link w:val="Naslov6Char"/>
    <w:uiPriority w:val="99"/>
    <w:semiHidden/>
    <w:unhideWhenUsed/>
    <w:qFormat/>
    <w:rsid w:val="00DD2DA6"/>
    <w:pPr>
      <w:keepNext/>
      <w:outlineLvl w:val="5"/>
    </w:pPr>
    <w:rPr>
      <w:rFonts w:ascii="Verdana" w:hAnsi="Verdana"/>
      <w:sz w:val="20"/>
      <w:u w:val="single"/>
    </w:rPr>
  </w:style>
  <w:style w:type="paragraph" w:styleId="Naslov7">
    <w:name w:val="heading 7"/>
    <w:basedOn w:val="Normal"/>
    <w:next w:val="Normal"/>
    <w:link w:val="Naslov7Char"/>
    <w:uiPriority w:val="99"/>
    <w:semiHidden/>
    <w:unhideWhenUsed/>
    <w:qFormat/>
    <w:rsid w:val="00DD2DA6"/>
    <w:pPr>
      <w:keepNext/>
      <w:jc w:val="both"/>
      <w:outlineLvl w:val="6"/>
    </w:pPr>
    <w:rPr>
      <w:b w:val="0"/>
      <w:bCs/>
      <w:color w:val="auto"/>
      <w:sz w:val="24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D2DA6"/>
    <w:rPr>
      <w:rFonts w:ascii="Times New Roman" w:eastAsia="Times New Roman" w:hAnsi="Times New Roman" w:cs="Times New Roman"/>
      <w:b/>
      <w:iCs/>
      <w:color w:val="00000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semiHidden/>
    <w:rsid w:val="00DD2DA6"/>
    <w:rPr>
      <w:rFonts w:ascii="Verdana" w:eastAsia="Times New Roman" w:hAnsi="Verdana" w:cs="Times New Roman"/>
      <w:b/>
      <w:iCs/>
      <w:color w:val="000000"/>
      <w:sz w:val="20"/>
      <w:szCs w:val="20"/>
      <w:u w:val="single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semiHidden/>
    <w:rsid w:val="00DD2DA6"/>
    <w:rPr>
      <w:rFonts w:ascii="Times New Roman" w:eastAsia="Times New Roman" w:hAnsi="Times New Roman" w:cs="Times New Roman"/>
      <w:bCs/>
      <w:iCs/>
      <w:sz w:val="24"/>
      <w:szCs w:val="20"/>
      <w:u w:val="single"/>
      <w:lang w:eastAsia="hr-HR"/>
    </w:rPr>
  </w:style>
  <w:style w:type="paragraph" w:styleId="Odlomakpopisa">
    <w:name w:val="List Paragraph"/>
    <w:basedOn w:val="Normal"/>
    <w:uiPriority w:val="34"/>
    <w:qFormat/>
    <w:rsid w:val="00DD2D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635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35C5"/>
    <w:rPr>
      <w:rFonts w:ascii="Segoe UI" w:eastAsia="Times New Roman" w:hAnsi="Segoe UI" w:cs="Segoe UI"/>
      <w:b/>
      <w:iCs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28</cp:revision>
  <cp:lastPrinted>2025-01-31T09:18:00Z</cp:lastPrinted>
  <dcterms:created xsi:type="dcterms:W3CDTF">2025-01-30T12:14:00Z</dcterms:created>
  <dcterms:modified xsi:type="dcterms:W3CDTF">2025-02-14T12:29:00Z</dcterms:modified>
</cp:coreProperties>
</file>